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85FE8" w:rsidRPr="00A85FE8" w:rsidRDefault="00A85FE8" w:rsidP="00A85FE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85FE8">
        <w:rPr>
          <w:b/>
          <w:bCs/>
          <w:color w:val="333333"/>
          <w:sz w:val="28"/>
          <w:szCs w:val="28"/>
        </w:rPr>
        <w:t>Антитеррористическая защищенность объектов спорта</w:t>
      </w:r>
    </w:p>
    <w:bookmarkEnd w:id="0"/>
    <w:p w:rsidR="00A85FE8" w:rsidRPr="00A85FE8" w:rsidRDefault="00A85FE8" w:rsidP="00A85FE8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06.03.2015 № 202 «Об утверждении требований к антитеррористической защищенности объектов спорта и формы паспорта безопасности объектов спорта» установлены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недвижимого имущества и комплексов недвижимого имущества, специально предназначенных для проведения физкультурных мероприятий и (или) спортивных мероприятий (далее - объекты спорта), включая проведение категорирования объектов спорта, осуществление контроля за выполнением настоящих требований и разработку паспорта безопасности объектов спорта.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Указанные требования не распространяются: на объекты (территории), подлежащие обязательной охране войсками национальной гвардии Российской Федерации; 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 и эксплуатацией указанных инженерно-технических средств охраны.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Отнесение к определенной категории осуществляется на основании оценки состояния защищенности объектов спорта, учитывающей возможные последствия совершения террористического акта на данных объектах.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Возможные последствия совершения террористического акта на объекте спорта определяются на основании прогнозных показателей о количестве людей, которые могут погибнуть или получить вред здоровью.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Также утверждена форма паспорта безопасности таких объектов (территорий).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1421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25714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2022-10-12T09:42:00Z</dcterms:created>
  <dcterms:modified xsi:type="dcterms:W3CDTF">2022-10-12T09:42:00Z</dcterms:modified>
</cp:coreProperties>
</file>